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9C" w:rsidRPr="00130063" w:rsidRDefault="00130063" w:rsidP="009D5BDF">
      <w:pPr>
        <w:spacing w:after="0" w:line="259" w:lineRule="auto"/>
        <w:ind w:left="-5"/>
        <w:rPr>
          <w:sz w:val="22"/>
        </w:rPr>
      </w:pPr>
      <w:r>
        <w:rPr>
          <w:b/>
          <w:sz w:val="22"/>
          <w:u w:val="single" w:color="000000"/>
        </w:rPr>
        <w:t>MAIN PURPOSE</w:t>
      </w:r>
    </w:p>
    <w:p w:rsidR="00900B9C" w:rsidRDefault="00900B9C" w:rsidP="00900B9C"/>
    <w:p w:rsidR="00900B9C" w:rsidRDefault="00900B9C" w:rsidP="009D5BDF">
      <w:r>
        <w:t xml:space="preserve">To assist in the general day to day running of the service, with a particular focus on digital technology and IT.  </w:t>
      </w:r>
    </w:p>
    <w:p w:rsidR="00900B9C" w:rsidRDefault="00900B9C" w:rsidP="00900B9C">
      <w:pPr>
        <w:ind w:left="-5"/>
      </w:pPr>
    </w:p>
    <w:p w:rsidR="00900B9C" w:rsidRDefault="00900B9C" w:rsidP="00900B9C">
      <w:pPr>
        <w:ind w:left="-5"/>
      </w:pPr>
    </w:p>
    <w:p w:rsidR="00341ED4" w:rsidRDefault="00C05754" w:rsidP="00900B9C">
      <w:pPr>
        <w:ind w:left="-5"/>
      </w:pPr>
      <w:r>
        <w:rPr>
          <w:b/>
          <w:u w:val="single" w:color="000000"/>
        </w:rPr>
        <w:t>TERMS &amp; CONDITIONS</w:t>
      </w:r>
      <w:r>
        <w:t xml:space="preserve"> </w:t>
      </w:r>
    </w:p>
    <w:p w:rsidR="00341ED4" w:rsidRDefault="00C05754">
      <w:pPr>
        <w:spacing w:after="0" w:line="259" w:lineRule="auto"/>
        <w:ind w:left="0" w:firstLine="0"/>
      </w:pPr>
      <w:r>
        <w:t xml:space="preserve"> </w:t>
      </w:r>
    </w:p>
    <w:p w:rsidR="00341ED4" w:rsidRDefault="00C05754">
      <w:pPr>
        <w:spacing w:after="0" w:line="259" w:lineRule="auto"/>
        <w:ind w:left="0" w:firstLine="0"/>
      </w:pPr>
      <w:r>
        <w:rPr>
          <w:b/>
          <w:i/>
          <w:u w:val="single" w:color="000000"/>
        </w:rPr>
        <w:t>Contract Type</w:t>
      </w:r>
      <w:r>
        <w:rPr>
          <w:b/>
          <w:i/>
        </w:rPr>
        <w:t xml:space="preserve"> </w:t>
      </w:r>
    </w:p>
    <w:p w:rsidR="00341ED4" w:rsidRDefault="00C05754">
      <w:pPr>
        <w:ind w:left="-5"/>
      </w:pPr>
      <w:r>
        <w:t>This is a</w:t>
      </w:r>
      <w:r>
        <w:rPr>
          <w:i/>
        </w:rPr>
        <w:t xml:space="preserve"> </w:t>
      </w:r>
      <w:r>
        <w:t>fixed term contract until 31</w:t>
      </w:r>
      <w:r>
        <w:rPr>
          <w:vertAlign w:val="superscript"/>
        </w:rPr>
        <w:t>st</w:t>
      </w:r>
      <w:r w:rsidR="00B7720B">
        <w:t xml:space="preserve"> March 2022</w:t>
      </w:r>
    </w:p>
    <w:p w:rsidR="00341ED4" w:rsidRDefault="00C05754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341ED4" w:rsidRDefault="00C05754">
      <w:pPr>
        <w:spacing w:after="0" w:line="259" w:lineRule="auto"/>
        <w:ind w:left="-5"/>
      </w:pPr>
      <w:r>
        <w:rPr>
          <w:b/>
          <w:u w:val="single" w:color="000000"/>
        </w:rPr>
        <w:t>Salary</w:t>
      </w:r>
      <w:r>
        <w:rPr>
          <w:b/>
        </w:rPr>
        <w:t xml:space="preserve"> </w:t>
      </w:r>
    </w:p>
    <w:p w:rsidR="00341ED4" w:rsidRDefault="00C05754" w:rsidP="00B7720B">
      <w:pPr>
        <w:ind w:left="0" w:firstLine="0"/>
      </w:pPr>
      <w:r>
        <w:t xml:space="preserve">This salary is </w:t>
      </w:r>
      <w:r w:rsidR="00B7720B">
        <w:t>equivalent to PSS Fixed point 27</w:t>
      </w:r>
      <w:r>
        <w:t xml:space="preserve">. </w:t>
      </w:r>
    </w:p>
    <w:p w:rsidR="00341ED4" w:rsidRDefault="00C05754">
      <w:pPr>
        <w:spacing w:after="0" w:line="259" w:lineRule="auto"/>
        <w:ind w:left="0" w:firstLine="0"/>
      </w:pPr>
      <w:r>
        <w:t xml:space="preserve"> </w:t>
      </w:r>
    </w:p>
    <w:p w:rsidR="00341ED4" w:rsidRDefault="00C05754">
      <w:pPr>
        <w:spacing w:after="0" w:line="259" w:lineRule="auto"/>
        <w:ind w:left="-5"/>
      </w:pPr>
      <w:r>
        <w:rPr>
          <w:b/>
          <w:u w:val="single" w:color="000000"/>
        </w:rPr>
        <w:t>Hours</w:t>
      </w:r>
      <w:r>
        <w:rPr>
          <w:b/>
        </w:rPr>
        <w:t xml:space="preserve"> </w:t>
      </w:r>
    </w:p>
    <w:p w:rsidR="00341ED4" w:rsidRDefault="00C1671D" w:rsidP="00B7720B">
      <w:pPr>
        <w:ind w:left="0" w:firstLine="0"/>
      </w:pPr>
      <w:r>
        <w:t>15 hours per week. Hours can be flexible but Tuesday working is essential</w:t>
      </w:r>
    </w:p>
    <w:p w:rsidR="00341ED4" w:rsidRDefault="00C05754">
      <w:pPr>
        <w:spacing w:after="0" w:line="259" w:lineRule="auto"/>
        <w:ind w:left="0" w:firstLine="0"/>
      </w:pPr>
      <w:r>
        <w:t xml:space="preserve"> </w:t>
      </w:r>
    </w:p>
    <w:p w:rsidR="00341ED4" w:rsidRDefault="00C05754">
      <w:pPr>
        <w:spacing w:after="0" w:line="259" w:lineRule="auto"/>
        <w:ind w:left="-5"/>
      </w:pPr>
      <w:r>
        <w:rPr>
          <w:b/>
          <w:u w:val="single" w:color="000000"/>
        </w:rPr>
        <w:t>Location</w:t>
      </w:r>
      <w:r>
        <w:rPr>
          <w:b/>
        </w:rPr>
        <w:t xml:space="preserve"> </w:t>
      </w:r>
    </w:p>
    <w:p w:rsidR="00341ED4" w:rsidRDefault="00B7720B">
      <w:pPr>
        <w:ind w:left="-5"/>
      </w:pPr>
      <w:r>
        <w:t>PSS Umbrella Centre 111 Mount Pleasant Liverpool L35TF</w:t>
      </w:r>
      <w:r w:rsidR="00C05754">
        <w:t xml:space="preserve"> </w:t>
      </w:r>
      <w:bookmarkStart w:id="0" w:name="_GoBack"/>
      <w:bookmarkEnd w:id="0"/>
    </w:p>
    <w:p w:rsidR="00341ED4" w:rsidRDefault="00C05754">
      <w:pPr>
        <w:spacing w:after="0" w:line="259" w:lineRule="auto"/>
        <w:ind w:left="0" w:firstLine="0"/>
      </w:pPr>
      <w:r>
        <w:rPr>
          <w:i/>
          <w:color w:val="FF0000"/>
        </w:rPr>
        <w:t xml:space="preserve"> </w:t>
      </w:r>
    </w:p>
    <w:p w:rsidR="00341ED4" w:rsidRDefault="00C05754">
      <w:pPr>
        <w:spacing w:after="0" w:line="259" w:lineRule="auto"/>
        <w:ind w:left="-5"/>
      </w:pPr>
      <w:r>
        <w:rPr>
          <w:b/>
          <w:u w:val="single" w:color="000000"/>
        </w:rPr>
        <w:t>Annual Leave</w:t>
      </w:r>
      <w:r>
        <w:rPr>
          <w:b/>
        </w:rPr>
        <w:t xml:space="preserve"> </w:t>
      </w:r>
    </w:p>
    <w:p w:rsidR="00341ED4" w:rsidRDefault="00C05754">
      <w:pPr>
        <w:ind w:left="-5"/>
      </w:pPr>
      <w:r>
        <w:t>2</w:t>
      </w:r>
      <w:r w:rsidR="00AC135E">
        <w:t>5</w:t>
      </w:r>
      <w:r>
        <w:t xml:space="preserve"> days pro rata per annum. In addition to eight paid statutory bank holidays (bank holidays are pro rata for part-time staff). </w:t>
      </w:r>
    </w:p>
    <w:p w:rsidR="00341ED4" w:rsidRDefault="00C05754">
      <w:pPr>
        <w:spacing w:after="0" w:line="259" w:lineRule="auto"/>
        <w:ind w:left="0" w:firstLine="0"/>
      </w:pPr>
      <w:r>
        <w:t xml:space="preserve"> </w:t>
      </w:r>
    </w:p>
    <w:p w:rsidR="00341ED4" w:rsidRDefault="00C05754">
      <w:pPr>
        <w:spacing w:after="0" w:line="259" w:lineRule="auto"/>
        <w:ind w:left="-5"/>
      </w:pPr>
      <w:r>
        <w:rPr>
          <w:b/>
          <w:u w:val="single" w:color="000000"/>
        </w:rPr>
        <w:t>Pensions</w:t>
      </w:r>
      <w:r>
        <w:rPr>
          <w:b/>
        </w:rPr>
        <w:t xml:space="preserve">  </w:t>
      </w:r>
    </w:p>
    <w:p w:rsidR="00341ED4" w:rsidRDefault="00C05754">
      <w:pPr>
        <w:ind w:left="-5"/>
      </w:pPr>
      <w:r>
        <w:t xml:space="preserve">PSS operates an Occupational Pension Scheme with the Pensions Trust. </w:t>
      </w:r>
    </w:p>
    <w:p w:rsidR="00341ED4" w:rsidRDefault="00C05754">
      <w:pPr>
        <w:spacing w:after="0" w:line="259" w:lineRule="auto"/>
        <w:ind w:left="0" w:firstLine="0"/>
      </w:pPr>
      <w:r>
        <w:t xml:space="preserve"> </w:t>
      </w:r>
    </w:p>
    <w:p w:rsidR="00341ED4" w:rsidRDefault="00C05754">
      <w:pPr>
        <w:spacing w:after="0" w:line="259" w:lineRule="auto"/>
        <w:ind w:left="-5"/>
      </w:pPr>
      <w:r>
        <w:rPr>
          <w:b/>
          <w:u w:val="single" w:color="000000"/>
        </w:rPr>
        <w:t>Conditions of Service</w:t>
      </w:r>
      <w:r>
        <w:rPr>
          <w:b/>
        </w:rPr>
        <w:t xml:space="preserve">  </w:t>
      </w:r>
    </w:p>
    <w:p w:rsidR="00341ED4" w:rsidRDefault="00C05754">
      <w:pPr>
        <w:ind w:left="-5" w:right="3031"/>
      </w:pPr>
      <w:r>
        <w:t xml:space="preserve">Offers of employment are made subject to the following conditions:  a) Completion of medical questionnaire </w:t>
      </w:r>
    </w:p>
    <w:p w:rsidR="00341ED4" w:rsidRDefault="00C05754">
      <w:pPr>
        <w:numPr>
          <w:ilvl w:val="0"/>
          <w:numId w:val="1"/>
        </w:numPr>
        <w:ind w:hanging="360"/>
      </w:pPr>
      <w:r>
        <w:t xml:space="preserve">Receipt of two satisfactory references, including one reference from a current or most recent employer. </w:t>
      </w:r>
    </w:p>
    <w:p w:rsidR="00341ED4" w:rsidRDefault="00C05754">
      <w:pPr>
        <w:numPr>
          <w:ilvl w:val="0"/>
          <w:numId w:val="1"/>
        </w:numPr>
        <w:ind w:hanging="360"/>
      </w:pPr>
      <w:r>
        <w:t xml:space="preserve">Authorisation to work in the UK. Under the Immigration, Asylum &amp; Nationality Act 2006 successful candidates will be required to produce documentation which demonstrates their authorisation to work in the UK. Documents may include; Passport; full birth certificate; UK work permit; Home Office letter. </w:t>
      </w:r>
    </w:p>
    <w:p w:rsidR="00341ED4" w:rsidRDefault="00C05754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341ED4" w:rsidRDefault="00C05754">
      <w:pPr>
        <w:spacing w:after="0" w:line="259" w:lineRule="auto"/>
        <w:ind w:left="0" w:firstLine="0"/>
      </w:pPr>
      <w:r>
        <w:rPr>
          <w:color w:val="FF0000"/>
          <w:sz w:val="22"/>
        </w:rPr>
        <w:t xml:space="preserve"> </w:t>
      </w:r>
    </w:p>
    <w:p w:rsidR="00341ED4" w:rsidRDefault="00C05754">
      <w:pPr>
        <w:spacing w:after="0" w:line="259" w:lineRule="auto"/>
        <w:ind w:left="-5"/>
        <w:rPr>
          <w:b/>
          <w:sz w:val="22"/>
        </w:rPr>
      </w:pPr>
      <w:r>
        <w:rPr>
          <w:b/>
          <w:sz w:val="22"/>
          <w:u w:val="single" w:color="000000"/>
        </w:rPr>
        <w:t>KEY RESPONSIBILITIES</w:t>
      </w:r>
      <w:r>
        <w:rPr>
          <w:b/>
          <w:sz w:val="22"/>
        </w:rPr>
        <w:t xml:space="preserve"> </w:t>
      </w:r>
    </w:p>
    <w:p w:rsidR="009D5BDF" w:rsidRDefault="009D5BDF">
      <w:pPr>
        <w:spacing w:after="0" w:line="259" w:lineRule="auto"/>
        <w:ind w:left="-5"/>
        <w:rPr>
          <w:b/>
          <w:sz w:val="22"/>
        </w:rPr>
      </w:pPr>
    </w:p>
    <w:p w:rsidR="009D5BDF" w:rsidRPr="0047094F" w:rsidRDefault="009D5BDF" w:rsidP="00BD40ED">
      <w:pPr>
        <w:numPr>
          <w:ilvl w:val="0"/>
          <w:numId w:val="5"/>
        </w:numPr>
        <w:spacing w:after="0" w:line="240" w:lineRule="auto"/>
      </w:pPr>
      <w:r>
        <w:t xml:space="preserve">To assist in the planning and facilitation of groups for the people we support </w:t>
      </w:r>
    </w:p>
    <w:p w:rsidR="009D5BDF" w:rsidRDefault="009D5BDF" w:rsidP="00BD40ED">
      <w:pPr>
        <w:numPr>
          <w:ilvl w:val="0"/>
          <w:numId w:val="5"/>
        </w:numPr>
        <w:spacing w:after="0" w:line="240" w:lineRule="auto"/>
      </w:pPr>
      <w:r>
        <w:t>To lead on ways to digitally enable the people we support</w:t>
      </w:r>
    </w:p>
    <w:p w:rsidR="009D5BDF" w:rsidRDefault="009D5BDF" w:rsidP="00BD40ED">
      <w:pPr>
        <w:numPr>
          <w:ilvl w:val="0"/>
          <w:numId w:val="5"/>
        </w:numPr>
        <w:spacing w:after="0" w:line="240" w:lineRule="auto"/>
      </w:pPr>
      <w:r>
        <w:t>To undertake Wellbeing Plan Assess</w:t>
      </w:r>
      <w:r w:rsidR="00BD40ED">
        <w:t>ments</w:t>
      </w:r>
      <w:r>
        <w:t xml:space="preserve"> and</w:t>
      </w:r>
      <w:r w:rsidR="00130063">
        <w:t xml:space="preserve"> to provide support</w:t>
      </w:r>
      <w:r w:rsidR="00BD40ED">
        <w:t xml:space="preserve"> and guidance to enable people</w:t>
      </w:r>
      <w:r>
        <w:t xml:space="preserve"> to meet their goals and aspirations </w:t>
      </w:r>
    </w:p>
    <w:p w:rsidR="009D5BDF" w:rsidRDefault="009D5BDF" w:rsidP="00BD40ED">
      <w:pPr>
        <w:numPr>
          <w:ilvl w:val="0"/>
          <w:numId w:val="5"/>
        </w:numPr>
      </w:pPr>
      <w:r>
        <w:t xml:space="preserve">To operate and maintain the client management system, facilitate efficient procedures, record keeping and information sharing </w:t>
      </w:r>
    </w:p>
    <w:p w:rsidR="009D5BDF" w:rsidRDefault="009D5BDF" w:rsidP="00BD40ED">
      <w:pPr>
        <w:numPr>
          <w:ilvl w:val="0"/>
          <w:numId w:val="5"/>
        </w:numPr>
      </w:pPr>
      <w:r>
        <w:t>To assist the Service Manager with quarterly monitoring reports.</w:t>
      </w:r>
    </w:p>
    <w:p w:rsidR="00341ED4" w:rsidRDefault="009D5BDF" w:rsidP="00BD40ED">
      <w:pPr>
        <w:numPr>
          <w:ilvl w:val="0"/>
          <w:numId w:val="5"/>
        </w:numPr>
        <w:spacing w:after="0" w:line="240" w:lineRule="auto"/>
      </w:pPr>
      <w:r>
        <w:t>To work in collaboration and consultation with other PSS pro</w:t>
      </w:r>
      <w:r w:rsidR="00C1671D">
        <w:t xml:space="preserve">jects and external providers </w:t>
      </w:r>
      <w:r>
        <w:t>to explore service development initiatives and funding opportunities.</w:t>
      </w:r>
    </w:p>
    <w:p w:rsidR="00341ED4" w:rsidRDefault="00C05754" w:rsidP="00BD40ED">
      <w:pPr>
        <w:numPr>
          <w:ilvl w:val="0"/>
          <w:numId w:val="5"/>
        </w:numPr>
      </w:pPr>
      <w:r>
        <w:t xml:space="preserve">Work proactively as a part of the service team to maximise efficient and effective use of resources </w:t>
      </w:r>
      <w:r w:rsidRPr="009D5BDF">
        <w:rPr>
          <w:b/>
        </w:rPr>
        <w:t xml:space="preserve"> </w:t>
      </w:r>
    </w:p>
    <w:p w:rsidR="00341ED4" w:rsidRDefault="00C05754" w:rsidP="00BD40ED">
      <w:pPr>
        <w:numPr>
          <w:ilvl w:val="0"/>
          <w:numId w:val="5"/>
        </w:numPr>
      </w:pPr>
      <w:r>
        <w:t>Maintain standards of confidentiality at all times.</w:t>
      </w:r>
      <w:r>
        <w:rPr>
          <w:b/>
        </w:rPr>
        <w:t xml:space="preserve"> </w:t>
      </w:r>
    </w:p>
    <w:p w:rsidR="00341ED4" w:rsidRDefault="00C05754" w:rsidP="00C1671D">
      <w:pPr>
        <w:spacing w:after="0" w:line="259" w:lineRule="auto"/>
        <w:ind w:left="0" w:firstLine="0"/>
      </w:pPr>
      <w:r>
        <w:rPr>
          <w:sz w:val="22"/>
        </w:rPr>
        <w:lastRenderedPageBreak/>
        <w:tab/>
        <w:t xml:space="preserve"> </w:t>
      </w:r>
    </w:p>
    <w:p w:rsidR="00341ED4" w:rsidRDefault="00C0575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341ED4" w:rsidRDefault="00C05754">
      <w:pPr>
        <w:spacing w:after="0" w:line="259" w:lineRule="auto"/>
        <w:ind w:left="-5"/>
      </w:pPr>
      <w:r>
        <w:rPr>
          <w:b/>
          <w:sz w:val="22"/>
          <w:u w:val="single" w:color="000000"/>
        </w:rPr>
        <w:t>ADDITIONAL DUTIES</w:t>
      </w:r>
      <w:r>
        <w:rPr>
          <w:b/>
          <w:sz w:val="22"/>
        </w:rPr>
        <w:t xml:space="preserve"> </w:t>
      </w:r>
    </w:p>
    <w:p w:rsidR="00341ED4" w:rsidRDefault="00C05754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341ED4" w:rsidRDefault="00C05754">
      <w:pPr>
        <w:numPr>
          <w:ilvl w:val="0"/>
          <w:numId w:val="3"/>
        </w:numPr>
        <w:ind w:right="680" w:hanging="240"/>
      </w:pPr>
      <w:r>
        <w:t>To actively participate in developing directorate, team</w:t>
      </w:r>
      <w:r w:rsidR="009D5BDF">
        <w:t xml:space="preserve"> and individual objectives and </w:t>
      </w:r>
      <w:r>
        <w:t xml:space="preserve">plans, attend staff performance management and learning and development reviews. </w:t>
      </w:r>
    </w:p>
    <w:p w:rsidR="00341ED4" w:rsidRDefault="00C05754">
      <w:pPr>
        <w:numPr>
          <w:ilvl w:val="0"/>
          <w:numId w:val="3"/>
        </w:numPr>
        <w:ind w:right="680" w:hanging="240"/>
      </w:pPr>
      <w:r>
        <w:t>The post holder is expected to be flexible in the p</w:t>
      </w:r>
      <w:r w:rsidR="009D5BDF">
        <w:t xml:space="preserve">erformance of duties and to </w:t>
      </w:r>
      <w:r>
        <w:t xml:space="preserve">undertake any other duties identified as appropriate to the post. </w:t>
      </w:r>
    </w:p>
    <w:p w:rsidR="00341ED4" w:rsidRDefault="00C05754">
      <w:pPr>
        <w:numPr>
          <w:ilvl w:val="0"/>
          <w:numId w:val="3"/>
        </w:numPr>
        <w:ind w:right="680" w:hanging="240"/>
      </w:pPr>
      <w:r>
        <w:t>All jobs are subject to change from time to time and this job description will be reviewed regularly and may be updated to include reas</w:t>
      </w:r>
      <w:r w:rsidR="009D5BDF">
        <w:t xml:space="preserve">onable changes in consultation </w:t>
      </w:r>
      <w:r>
        <w:t xml:space="preserve">with the job holder. </w:t>
      </w:r>
    </w:p>
    <w:p w:rsidR="00341ED4" w:rsidRDefault="00C05754">
      <w:pPr>
        <w:spacing w:after="220" w:line="259" w:lineRule="auto"/>
        <w:ind w:left="240" w:firstLine="0"/>
      </w:pPr>
      <w:r>
        <w:rPr>
          <w:i/>
        </w:rPr>
        <w:t xml:space="preserve"> </w:t>
      </w:r>
    </w:p>
    <w:p w:rsidR="00341ED4" w:rsidRDefault="00C05754">
      <w:pPr>
        <w:pStyle w:val="Heading1"/>
      </w:pPr>
      <w:r>
        <w:t xml:space="preserve">JOB DESCRIPTION  </w:t>
      </w:r>
    </w:p>
    <w:p w:rsidR="00341ED4" w:rsidRDefault="00C05754" w:rsidP="00AA1130">
      <w:pPr>
        <w:spacing w:after="0" w:line="240" w:lineRule="auto"/>
        <w:ind w:left="0" w:firstLine="0"/>
        <w:jc w:val="both"/>
      </w:pPr>
      <w:r>
        <w:t xml:space="preserve">This job description is a guide to the work you will be required to undertake and represents a range of responsibilities commensurate with the grade for the post.  It does not form part of your contract of employment. </w:t>
      </w:r>
    </w:p>
    <w:p w:rsidR="00341ED4" w:rsidRDefault="00341ED4" w:rsidP="009D5BDF">
      <w:pPr>
        <w:spacing w:after="0" w:line="259" w:lineRule="auto"/>
        <w:ind w:left="0" w:firstLine="0"/>
      </w:pPr>
    </w:p>
    <w:p w:rsidR="00341ED4" w:rsidRDefault="00C05754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0351" w:type="dxa"/>
        <w:tblInd w:w="142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21"/>
        <w:gridCol w:w="1800"/>
        <w:gridCol w:w="2430"/>
      </w:tblGrid>
      <w:tr w:rsidR="00341ED4" w:rsidTr="00130063">
        <w:trPr>
          <w:trHeight w:val="283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Requirement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Assess from:  </w:t>
            </w:r>
          </w:p>
        </w:tc>
      </w:tr>
      <w:tr w:rsidR="00341ED4" w:rsidTr="00AA1130">
        <w:trPr>
          <w:trHeight w:val="1943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E= Essential D = Desirable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40" w:lineRule="auto"/>
              <w:ind w:left="0" w:right="488" w:firstLine="0"/>
            </w:pPr>
            <w:r>
              <w:t xml:space="preserve">A = application I = interview </w:t>
            </w:r>
          </w:p>
          <w:p w:rsidR="00341ED4" w:rsidRDefault="00C05754">
            <w:pPr>
              <w:spacing w:after="0" w:line="259" w:lineRule="auto"/>
              <w:ind w:left="0" w:right="352" w:firstLine="0"/>
            </w:pPr>
            <w:r>
              <w:t xml:space="preserve">R = references E = exercise/practical C = Copy of certificates </w:t>
            </w:r>
          </w:p>
        </w:tc>
      </w:tr>
      <w:tr w:rsidR="00341ED4" w:rsidTr="00C1671D">
        <w:trPr>
          <w:trHeight w:val="286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Attitude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1ED4">
        <w:trPr>
          <w:trHeight w:val="564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Commitment to, and demonstration of, organisational behaviours and values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7" w:firstLine="0"/>
              <w:jc w:val="center"/>
            </w:pPr>
            <w:r>
              <w:t xml:space="preserve">I </w:t>
            </w:r>
          </w:p>
        </w:tc>
      </w:tr>
      <w:tr w:rsidR="00341ED4">
        <w:trPr>
          <w:trHeight w:val="56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proofErr w:type="spellStart"/>
            <w:r>
              <w:t>Self starter</w:t>
            </w:r>
            <w:proofErr w:type="spellEnd"/>
            <w:r>
              <w:t xml:space="preserve"> able to work on own or collaboratively as part of a team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9" w:firstLine="0"/>
              <w:jc w:val="center"/>
            </w:pPr>
            <w:r>
              <w:t xml:space="preserve">A,I </w:t>
            </w:r>
          </w:p>
        </w:tc>
      </w:tr>
      <w:tr w:rsidR="00341ED4">
        <w:trPr>
          <w:trHeight w:val="56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Excellent team worker and flexible approach with the belief that nothing is too much trouble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7" w:firstLine="0"/>
              <w:jc w:val="center"/>
            </w:pPr>
            <w:r>
              <w:t xml:space="preserve">I </w:t>
            </w:r>
          </w:p>
        </w:tc>
      </w:tr>
      <w:tr w:rsidR="00341ED4">
        <w:trPr>
          <w:trHeight w:val="56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A passion for customer service, with commitment to equality and diversity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9" w:firstLine="0"/>
              <w:jc w:val="center"/>
            </w:pPr>
            <w:r>
              <w:t xml:space="preserve">A,I </w:t>
            </w:r>
          </w:p>
        </w:tc>
      </w:tr>
      <w:tr w:rsidR="00341ED4">
        <w:trPr>
          <w:trHeight w:val="587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Strives for continuous improvement and development of self, professional knowledge and service delivery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7" w:firstLine="0"/>
              <w:jc w:val="center"/>
            </w:pPr>
            <w:r>
              <w:t xml:space="preserve">I </w:t>
            </w:r>
          </w:p>
        </w:tc>
      </w:tr>
      <w:tr w:rsidR="00341ED4">
        <w:trPr>
          <w:trHeight w:val="316"/>
        </w:trPr>
        <w:tc>
          <w:tcPr>
            <w:tcW w:w="61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Knowledge 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2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41ED4">
        <w:trPr>
          <w:trHeight w:val="372"/>
        </w:trPr>
        <w:tc>
          <w:tcPr>
            <w:tcW w:w="6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AA1130">
            <w:pPr>
              <w:spacing w:after="0" w:line="259" w:lineRule="auto"/>
              <w:ind w:left="0" w:firstLine="0"/>
            </w:pPr>
            <w:r>
              <w:t>Preventative Mental Health approaches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7" w:firstLine="0"/>
              <w:jc w:val="center"/>
            </w:pPr>
            <w:r>
              <w:t xml:space="preserve">I </w:t>
            </w:r>
          </w:p>
        </w:tc>
      </w:tr>
      <w:tr w:rsidR="00341ED4">
        <w:trPr>
          <w:trHeight w:val="56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BD40ED">
            <w:pPr>
              <w:spacing w:after="0" w:line="259" w:lineRule="auto"/>
              <w:ind w:left="0" w:firstLine="0"/>
            </w:pPr>
            <w:r>
              <w:t>Digital technology and social media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9" w:firstLine="0"/>
              <w:jc w:val="center"/>
            </w:pPr>
            <w:r>
              <w:t xml:space="preserve">A, I </w:t>
            </w:r>
          </w:p>
        </w:tc>
      </w:tr>
      <w:tr w:rsidR="00341ED4">
        <w:trPr>
          <w:trHeight w:val="39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Working with Information Systems and 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7" w:firstLine="0"/>
              <w:jc w:val="center"/>
            </w:pPr>
            <w:r>
              <w:t xml:space="preserve">I </w:t>
            </w:r>
          </w:p>
        </w:tc>
      </w:tr>
      <w:tr w:rsidR="00341ED4" w:rsidTr="00130063">
        <w:trPr>
          <w:trHeight w:val="316"/>
        </w:trPr>
        <w:tc>
          <w:tcPr>
            <w:tcW w:w="61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Skills  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1671D" w:rsidTr="00130063">
        <w:trPr>
          <w:trHeight w:val="291"/>
        </w:trPr>
        <w:tc>
          <w:tcPr>
            <w:tcW w:w="6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1D" w:rsidRDefault="00C1671D">
            <w:pPr>
              <w:spacing w:after="0" w:line="259" w:lineRule="auto"/>
              <w:ind w:left="0" w:firstLine="0"/>
            </w:pPr>
            <w:r>
              <w:t>Enhanced digital technology and IT skills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1D" w:rsidRDefault="00C1671D">
            <w:pPr>
              <w:spacing w:after="0" w:line="259" w:lineRule="auto"/>
              <w:ind w:left="4" w:firstLine="0"/>
              <w:jc w:val="center"/>
            </w:pPr>
            <w:r>
              <w:t>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1D" w:rsidRDefault="00C1671D">
            <w:pPr>
              <w:spacing w:after="0" w:line="259" w:lineRule="auto"/>
              <w:ind w:left="6" w:firstLine="0"/>
              <w:jc w:val="center"/>
            </w:pPr>
            <w:r>
              <w:t>A,I</w:t>
            </w:r>
          </w:p>
        </w:tc>
      </w:tr>
      <w:tr w:rsidR="00341ED4" w:rsidTr="00130063">
        <w:trPr>
          <w:trHeight w:val="291"/>
        </w:trPr>
        <w:tc>
          <w:tcPr>
            <w:tcW w:w="6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BD40ED">
            <w:pPr>
              <w:spacing w:after="0" w:line="259" w:lineRule="auto"/>
              <w:ind w:left="0" w:firstLine="0"/>
            </w:pPr>
            <w:proofErr w:type="spellStart"/>
            <w:r>
              <w:t>Groupwork</w:t>
            </w:r>
            <w:proofErr w:type="spellEnd"/>
            <w:r>
              <w:t xml:space="preserve"> facilitation skills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6" w:firstLine="0"/>
              <w:jc w:val="center"/>
            </w:pPr>
            <w:r>
              <w:t xml:space="preserve">A,I,E </w:t>
            </w:r>
          </w:p>
        </w:tc>
      </w:tr>
      <w:tr w:rsidR="00341ED4" w:rsidTr="00130063">
        <w:trPr>
          <w:trHeight w:val="564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Organisational skills, including the ability to collate monitoring and other data/information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9" w:firstLine="0"/>
              <w:jc w:val="center"/>
            </w:pPr>
            <w:r>
              <w:t xml:space="preserve">A,I </w:t>
            </w:r>
          </w:p>
        </w:tc>
      </w:tr>
      <w:tr w:rsidR="00341ED4" w:rsidTr="00130063">
        <w:trPr>
          <w:trHeight w:val="863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lastRenderedPageBreak/>
              <w:t xml:space="preserve">Oral and written communication skills, including the ability to liaise effectively with internal and external contacts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9" w:firstLine="0"/>
              <w:jc w:val="center"/>
            </w:pPr>
            <w:r>
              <w:t xml:space="preserve">A,I </w:t>
            </w:r>
          </w:p>
        </w:tc>
      </w:tr>
      <w:tr w:rsidR="00341ED4" w:rsidTr="00130063">
        <w:trPr>
          <w:trHeight w:val="316"/>
        </w:trPr>
        <w:tc>
          <w:tcPr>
            <w:tcW w:w="61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Experience  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A1130" w:rsidTr="00130063">
        <w:trPr>
          <w:trHeight w:val="290"/>
        </w:trPr>
        <w:tc>
          <w:tcPr>
            <w:tcW w:w="6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0" w:rsidRDefault="00AA1130">
            <w:pPr>
              <w:spacing w:after="0" w:line="259" w:lineRule="auto"/>
              <w:ind w:left="0" w:firstLine="0"/>
            </w:pPr>
            <w:r>
              <w:t>Supporting people experiencing mental health challenges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0" w:rsidRDefault="00AA1130">
            <w:pPr>
              <w:spacing w:after="0" w:line="259" w:lineRule="auto"/>
              <w:ind w:left="4" w:firstLine="0"/>
              <w:jc w:val="center"/>
            </w:pPr>
            <w:r>
              <w:t>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30" w:rsidRDefault="00AA1130">
            <w:pPr>
              <w:spacing w:after="0" w:line="259" w:lineRule="auto"/>
              <w:ind w:left="6" w:firstLine="0"/>
              <w:jc w:val="center"/>
            </w:pPr>
            <w:r>
              <w:t>A,I</w:t>
            </w:r>
          </w:p>
        </w:tc>
      </w:tr>
      <w:tr w:rsidR="00341ED4" w:rsidTr="00130063">
        <w:trPr>
          <w:trHeight w:val="286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Team Working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9" w:firstLine="0"/>
              <w:jc w:val="center"/>
            </w:pPr>
            <w:r>
              <w:t xml:space="preserve">A,I </w:t>
            </w:r>
          </w:p>
        </w:tc>
      </w:tr>
      <w:tr w:rsidR="00341ED4" w:rsidTr="00130063">
        <w:trPr>
          <w:trHeight w:val="313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AA1130">
            <w:pPr>
              <w:spacing w:after="0" w:line="259" w:lineRule="auto"/>
              <w:ind w:left="0" w:firstLine="0"/>
            </w:pPr>
            <w:r>
              <w:t>Of MS Office packages, including, Excel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9" w:firstLine="0"/>
              <w:jc w:val="center"/>
            </w:pPr>
            <w:r>
              <w:t xml:space="preserve">A, I </w:t>
            </w:r>
          </w:p>
        </w:tc>
      </w:tr>
      <w:tr w:rsidR="00341ED4" w:rsidTr="00130063">
        <w:trPr>
          <w:trHeight w:val="316"/>
        </w:trPr>
        <w:tc>
          <w:tcPr>
            <w:tcW w:w="61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Qualifications and training </w:t>
            </w:r>
          </w:p>
        </w:tc>
        <w:tc>
          <w:tcPr>
            <w:tcW w:w="18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3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1ED4" w:rsidRDefault="00C05754">
            <w:pPr>
              <w:spacing w:after="0" w:line="259" w:lineRule="auto"/>
              <w:ind w:left="75" w:firstLine="0"/>
              <w:jc w:val="center"/>
            </w:pPr>
            <w:r>
              <w:t xml:space="preserve"> </w:t>
            </w:r>
          </w:p>
        </w:tc>
      </w:tr>
      <w:tr w:rsidR="00341ED4" w:rsidTr="00130063">
        <w:trPr>
          <w:trHeight w:val="290"/>
        </w:trPr>
        <w:tc>
          <w:tcPr>
            <w:tcW w:w="6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1671D">
            <w:pPr>
              <w:spacing w:after="0" w:line="259" w:lineRule="auto"/>
              <w:ind w:left="0" w:firstLine="0"/>
            </w:pPr>
            <w:r>
              <w:t>Have a Mental Health or Social Care Qualification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4" w:firstLine="0"/>
              <w:jc w:val="center"/>
            </w:pPr>
            <w:r>
              <w:t xml:space="preserve">E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5" w:firstLine="0"/>
              <w:jc w:val="center"/>
            </w:pPr>
            <w:r>
              <w:t xml:space="preserve">A </w:t>
            </w:r>
          </w:p>
        </w:tc>
      </w:tr>
      <w:tr w:rsidR="00341ED4" w:rsidTr="00130063">
        <w:trPr>
          <w:trHeight w:val="286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1671D">
            <w:pPr>
              <w:spacing w:after="0" w:line="259" w:lineRule="auto"/>
              <w:ind w:left="0" w:firstLine="0"/>
            </w:pPr>
            <w:r>
              <w:t xml:space="preserve">Have or willingness to work </w:t>
            </w:r>
            <w:r w:rsidR="00C05754">
              <w:t xml:space="preserve">towards an IT qualification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8" w:firstLine="0"/>
              <w:jc w:val="center"/>
            </w:pPr>
            <w:r>
              <w:t xml:space="preserve">D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ED4" w:rsidRDefault="00C05754">
            <w:pPr>
              <w:spacing w:after="0" w:line="259" w:lineRule="auto"/>
              <w:ind w:left="5" w:firstLine="0"/>
              <w:jc w:val="center"/>
            </w:pPr>
            <w:r>
              <w:t xml:space="preserve">A </w:t>
            </w:r>
          </w:p>
        </w:tc>
      </w:tr>
    </w:tbl>
    <w:p w:rsidR="00341ED4" w:rsidRDefault="00C05754">
      <w:pPr>
        <w:spacing w:after="0" w:line="259" w:lineRule="auto"/>
        <w:ind w:left="0" w:firstLine="0"/>
        <w:jc w:val="both"/>
      </w:pPr>
      <w:r>
        <w:t xml:space="preserve"> </w:t>
      </w:r>
    </w:p>
    <w:p w:rsidR="00341ED4" w:rsidRDefault="00C05754">
      <w:pPr>
        <w:spacing w:after="0" w:line="259" w:lineRule="auto"/>
        <w:ind w:left="0" w:firstLine="0"/>
        <w:jc w:val="both"/>
      </w:pPr>
      <w:r>
        <w:t xml:space="preserve"> </w:t>
      </w:r>
    </w:p>
    <w:p w:rsidR="00341ED4" w:rsidRDefault="00C05754">
      <w:pPr>
        <w:spacing w:after="0" w:line="259" w:lineRule="auto"/>
        <w:ind w:left="0" w:firstLine="0"/>
        <w:jc w:val="both"/>
      </w:pPr>
      <w:r>
        <w:t xml:space="preserve"> </w:t>
      </w:r>
    </w:p>
    <w:sectPr w:rsidR="00341ED4">
      <w:pgSz w:w="11906" w:h="16838"/>
      <w:pgMar w:top="724" w:right="721" w:bottom="8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586"/>
    <w:multiLevelType w:val="hybridMultilevel"/>
    <w:tmpl w:val="68EA4F04"/>
    <w:lvl w:ilvl="0" w:tplc="AABEAFCE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673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A90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EFD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AE0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29C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242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A79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E28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3A20E2"/>
    <w:multiLevelType w:val="hybridMultilevel"/>
    <w:tmpl w:val="4F66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5084"/>
    <w:multiLevelType w:val="hybridMultilevel"/>
    <w:tmpl w:val="330CDA28"/>
    <w:lvl w:ilvl="0" w:tplc="AA589D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295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AC7F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E01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E5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E98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71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E03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EDD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2C78D3"/>
    <w:multiLevelType w:val="hybridMultilevel"/>
    <w:tmpl w:val="28048434"/>
    <w:lvl w:ilvl="0" w:tplc="2046A612">
      <w:start w:val="2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63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4F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6B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8B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8D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817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812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0E7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845FF3"/>
    <w:multiLevelType w:val="singleLevel"/>
    <w:tmpl w:val="5B8A44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4"/>
    <w:rsid w:val="00130063"/>
    <w:rsid w:val="001B56FC"/>
    <w:rsid w:val="00341ED4"/>
    <w:rsid w:val="00365378"/>
    <w:rsid w:val="008C1539"/>
    <w:rsid w:val="00900B9C"/>
    <w:rsid w:val="009D5BDF"/>
    <w:rsid w:val="00AA1130"/>
    <w:rsid w:val="00AC135E"/>
    <w:rsid w:val="00B7720B"/>
    <w:rsid w:val="00BD40ED"/>
    <w:rsid w:val="00C05754"/>
    <w:rsid w:val="00C1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F586B-CC16-407C-BBF2-76C6F523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0B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0B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00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0B9C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0B9C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Post to be advertised</vt:lpstr>
    </vt:vector>
  </TitlesOfParts>
  <Company>GCI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Post to be advertised</dc:title>
  <dc:subject/>
  <dc:creator>Mcvey</dc:creator>
  <cp:keywords/>
  <cp:lastModifiedBy>Aimee Armitage</cp:lastModifiedBy>
  <cp:revision>3</cp:revision>
  <dcterms:created xsi:type="dcterms:W3CDTF">2021-02-17T12:27:00Z</dcterms:created>
  <dcterms:modified xsi:type="dcterms:W3CDTF">2021-02-17T14:55:00Z</dcterms:modified>
</cp:coreProperties>
</file>